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F7" w:rsidRPr="003979F7" w:rsidRDefault="003979F7" w:rsidP="003979F7">
      <w:pPr>
        <w:spacing w:after="0"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  <w:r w:rsidRPr="003979F7">
        <w:rPr>
          <w:b/>
          <w:noProof/>
          <w:color w:val="000000"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448</wp:posOffset>
            </wp:positionV>
            <wp:extent cx="6970395" cy="1471295"/>
            <wp:effectExtent l="0" t="0" r="190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riefkopf ohne Adres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979F7">
        <w:rPr>
          <w:b/>
          <w:color w:val="000000"/>
          <w:sz w:val="28"/>
          <w:szCs w:val="28"/>
        </w:rPr>
        <w:t xml:space="preserve">Nutzungsordnung für den Videokonferenzdienst von </w:t>
      </w:r>
      <w:proofErr w:type="spellStart"/>
      <w:r w:rsidRPr="003979F7">
        <w:rPr>
          <w:b/>
          <w:color w:val="000000"/>
          <w:sz w:val="28"/>
          <w:szCs w:val="28"/>
        </w:rPr>
        <w:t>Dataport</w:t>
      </w:r>
      <w:proofErr w:type="spellEnd"/>
    </w:p>
    <w:p w:rsidR="003979F7" w:rsidRPr="003979F7" w:rsidRDefault="003979F7" w:rsidP="003979F7">
      <w:pPr>
        <w:pStyle w:val="textarea"/>
        <w:spacing w:before="0"/>
        <w:rPr>
          <w:rFonts w:asciiTheme="minorHAnsi" w:hAnsiTheme="minorHAnsi"/>
          <w:sz w:val="22"/>
          <w:szCs w:val="22"/>
        </w:rPr>
      </w:pPr>
      <w:proofErr w:type="spellStart"/>
      <w:r w:rsidRPr="003979F7">
        <w:rPr>
          <w:rFonts w:asciiTheme="minorHAnsi" w:hAnsiTheme="minorHAnsi"/>
          <w:b/>
          <w:color w:val="000000"/>
          <w:sz w:val="22"/>
          <w:szCs w:val="22"/>
        </w:rPr>
        <w:t>Präambel</w:t>
      </w:r>
      <w:proofErr w:type="spellEnd"/>
    </w:p>
    <w:p w:rsidR="003979F7" w:rsidRPr="003979F7" w:rsidRDefault="003979F7" w:rsidP="003979F7">
      <w:pPr>
        <w:pStyle w:val="textarea"/>
        <w:spacing w:before="0"/>
        <w:jc w:val="both"/>
        <w:rPr>
          <w:rFonts w:asciiTheme="minorHAnsi" w:hAnsiTheme="minorHAnsi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Die Schule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stellt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ihren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Schülerinnen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Lehrkräften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(im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Folgenden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: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)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Videkonferenzdienst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von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Dataport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Verfügung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Dieser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dient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b/>
          <w:color w:val="000000"/>
          <w:sz w:val="22"/>
          <w:szCs w:val="22"/>
        </w:rPr>
        <w:t>ausschließlich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schulischen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Kommunikation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ermöglicht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an</w:t>
      </w:r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teilzunehmen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Alle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verpflichten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Rechte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anderer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Personen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achten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spacing w:before="0"/>
        <w:jc w:val="both"/>
        <w:rPr>
          <w:rFonts w:asciiTheme="minorHAnsi" w:hAnsiTheme="minorHAnsi"/>
        </w:rPr>
      </w:pPr>
      <w:proofErr w:type="spellStart"/>
      <w:r w:rsidRPr="003979F7">
        <w:rPr>
          <w:rFonts w:asciiTheme="minorHAnsi" w:hAnsiTheme="minorHAnsi"/>
          <w:b/>
          <w:color w:val="000000"/>
        </w:rPr>
        <w:t>Nutzungsmöglichkeiten</w:t>
      </w:r>
      <w:proofErr w:type="spellEnd"/>
    </w:p>
    <w:p w:rsidR="003979F7" w:rsidRPr="003979F7" w:rsidRDefault="003979F7" w:rsidP="003979F7">
      <w:pPr>
        <w:pStyle w:val="textarea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darf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unterrichtliche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Zwecke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-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soweit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schulrechtlich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zulässig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-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schulische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Prüfungszwecke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sowie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Durchführung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gemäß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oder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aufgrund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Schulgesetz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an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Schulen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bestehender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genutzt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Unterrichtsorganisatorische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sonstige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organisatorische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dürfen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gemäß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Vorgaben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des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Bildungsministeriums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durchgeführt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Lehrkräfte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gestartet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haben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Zugangsdaten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erhalten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innen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bekommen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Teilnahme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an</w:t>
      </w:r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URL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Passwort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Betreten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des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Raumes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übermittelt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wenn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diese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Informationen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jeweilige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Lehrperson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vorab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übermittelt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können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Lernenden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teilnehmen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 </w:t>
      </w:r>
    </w:p>
    <w:p w:rsidR="003979F7" w:rsidRPr="003979F7" w:rsidRDefault="003979F7" w:rsidP="003979F7">
      <w:pPr>
        <w:pStyle w:val="textarea"/>
        <w:spacing w:before="0" w:after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979F7" w:rsidRPr="003979F7" w:rsidRDefault="003979F7" w:rsidP="003979F7">
      <w:pPr>
        <w:pStyle w:val="textarea"/>
        <w:spacing w:before="0"/>
        <w:jc w:val="both"/>
        <w:rPr>
          <w:rFonts w:asciiTheme="minorHAnsi" w:hAnsiTheme="minorHAnsi"/>
        </w:rPr>
      </w:pPr>
      <w:proofErr w:type="spellStart"/>
      <w:r w:rsidRPr="003979F7">
        <w:rPr>
          <w:rFonts w:asciiTheme="minorHAnsi" w:hAnsiTheme="minorHAnsi"/>
          <w:b/>
          <w:color w:val="000000"/>
        </w:rPr>
        <w:t>Verhaltensregeln</w:t>
      </w:r>
      <w:proofErr w:type="spellEnd"/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Vergeben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als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Moderator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sicheres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Passwort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machen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bewusst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dass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Vertraulichkeit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unmittelbar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von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Vergabe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sicheren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Passwortes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(und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dessen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sichere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Übertragung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an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Teilnehmer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abhängig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ist</w:t>
      </w:r>
      <w:proofErr w:type="spellEnd"/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beim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Betreten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Konferenzraumes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aufgefordert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Namen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geben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Benennung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sollte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so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vorgenommen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dass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Lehrkraft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nachvollziehen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kann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im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Raum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ist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Konferenzräume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von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Schülerinnen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Zeitpunkt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angesetzten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betreten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sofern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eingeladen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worden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sind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Als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Moderator*in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sollten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auf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eingewählten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Teilnehmer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achten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während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angezeigt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bei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unbekannten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Teilnehmern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nachfragen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dahinter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verbirgt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schalten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Kamera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Mikrofon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an,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wenn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Lehrkraft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aufgefordert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ist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allen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untersagt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Audio-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oder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Videomitschnitte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sowie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Screenshots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anzufertigen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Tauschen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keine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persönliche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Informationen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über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Chat-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Funktion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aus</w:t>
      </w:r>
      <w:proofErr w:type="spellEnd"/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Videofunktion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Kamerabild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ist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freiwillig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besteht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das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Risiko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Benutzung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Videofunktion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innerhalb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ihres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Wohnumfeldes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ungewollt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/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unbewusst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Informationen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preiszugeben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(z. B.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Poster an der Wand).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"Blur"-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Funktion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um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Hintergrund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unscharf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zeichnen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Weitere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Personen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dürfen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teilnehmen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/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mit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im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Raum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sein,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soweit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Durchführung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erforderlich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3979F7">
        <w:rPr>
          <w:rFonts w:asciiTheme="minorHAnsi" w:hAnsiTheme="minorHAnsi"/>
          <w:color w:val="000000"/>
          <w:sz w:val="22"/>
          <w:szCs w:val="22"/>
        </w:rPr>
        <w:t>ist</w:t>
      </w:r>
      <w:proofErr w:type="spellEnd"/>
      <w:proofErr w:type="gramEnd"/>
      <w:r w:rsidRPr="003979F7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z.B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Eltern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bei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jüngeren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Schülern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).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Alle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verlassen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nach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Beendigung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Raum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jeweilige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Lehrkraft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stellt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dieses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sicher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(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ggf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.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durch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manuelles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Entfernen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Nutzer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) und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verlässt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Raum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zuletzt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numPr>
          <w:ilvl w:val="0"/>
          <w:numId w:val="3"/>
        </w:numPr>
        <w:spacing w:before="0"/>
        <w:ind w:left="359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Nach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Beendigung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der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erneuert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Lehrkraft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dass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Zugangspasswort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für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den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Konferenzraum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, um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eine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unerlaubte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Weiternutzung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zu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unterbinden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Pr="003979F7" w:rsidRDefault="003979F7" w:rsidP="003979F7">
      <w:pPr>
        <w:pStyle w:val="textarea"/>
        <w:spacing w:before="0"/>
        <w:jc w:val="both"/>
        <w:rPr>
          <w:rFonts w:asciiTheme="minorHAnsi" w:hAnsiTheme="minorHAnsi"/>
        </w:rPr>
      </w:pPr>
      <w:proofErr w:type="spellStart"/>
      <w:r w:rsidRPr="003979F7">
        <w:rPr>
          <w:rFonts w:asciiTheme="minorHAnsi" w:hAnsiTheme="minorHAnsi"/>
          <w:b/>
          <w:color w:val="000000"/>
        </w:rPr>
        <w:t>Verstöße</w:t>
      </w:r>
      <w:proofErr w:type="spellEnd"/>
    </w:p>
    <w:p w:rsidR="003979F7" w:rsidRPr="003979F7" w:rsidRDefault="003979F7" w:rsidP="003979F7">
      <w:pPr>
        <w:pStyle w:val="textarea"/>
        <w:spacing w:before="0"/>
        <w:jc w:val="both"/>
        <w:rPr>
          <w:rFonts w:asciiTheme="minorHAnsi" w:hAnsiTheme="minorHAnsi"/>
          <w:color w:val="000000"/>
          <w:sz w:val="22"/>
          <w:szCs w:val="22"/>
        </w:rPr>
      </w:pPr>
      <w:r w:rsidRPr="003979F7">
        <w:rPr>
          <w:rFonts w:asciiTheme="minorHAnsi" w:hAnsiTheme="minorHAnsi"/>
          <w:color w:val="000000"/>
          <w:sz w:val="22"/>
          <w:szCs w:val="22"/>
        </w:rPr>
        <w:t>Im Fall von (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wiederholten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)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Verstößen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gegen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Nutzungsordnung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kann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Teilnahme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an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Onlinesitzungen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unterbunden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3979F7">
        <w:rPr>
          <w:rFonts w:asciiTheme="minorHAnsi" w:hAnsiTheme="minorHAnsi"/>
          <w:color w:val="000000"/>
          <w:sz w:val="22"/>
          <w:szCs w:val="22"/>
        </w:rPr>
        <w:t>werden</w:t>
      </w:r>
      <w:proofErr w:type="spellEnd"/>
      <w:r w:rsidRPr="003979F7">
        <w:rPr>
          <w:rFonts w:asciiTheme="minorHAnsi" w:hAnsiTheme="minorHAnsi"/>
          <w:color w:val="000000"/>
          <w:sz w:val="22"/>
          <w:szCs w:val="22"/>
        </w:rPr>
        <w:t>.</w:t>
      </w:r>
    </w:p>
    <w:p w:rsidR="003979F7" w:rsidRDefault="003979F7" w:rsidP="00572470">
      <w:pPr>
        <w:spacing w:after="0" w:line="240" w:lineRule="auto"/>
        <w:jc w:val="right"/>
        <w:rPr>
          <w:rFonts w:ascii="Candara" w:hAnsi="Candara"/>
          <w:sz w:val="24"/>
          <w:szCs w:val="24"/>
        </w:rPr>
      </w:pPr>
    </w:p>
    <w:sectPr w:rsidR="003979F7" w:rsidSect="003979F7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oto Serif CJK SC"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656C"/>
    <w:multiLevelType w:val="hybridMultilevel"/>
    <w:tmpl w:val="7ED64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CE3"/>
    <w:multiLevelType w:val="hybridMultilevel"/>
    <w:tmpl w:val="5EB6D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01BD5"/>
    <w:multiLevelType w:val="singleLevel"/>
    <w:tmpl w:val="E53CE3D0"/>
    <w:name w:val="Bullet 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A8"/>
    <w:rsid w:val="000A35DF"/>
    <w:rsid w:val="001173B3"/>
    <w:rsid w:val="00135DEE"/>
    <w:rsid w:val="00192D68"/>
    <w:rsid w:val="001D316B"/>
    <w:rsid w:val="00303C83"/>
    <w:rsid w:val="003979F7"/>
    <w:rsid w:val="003A2551"/>
    <w:rsid w:val="0046578D"/>
    <w:rsid w:val="00524975"/>
    <w:rsid w:val="00544E77"/>
    <w:rsid w:val="00572470"/>
    <w:rsid w:val="0060308C"/>
    <w:rsid w:val="006310C3"/>
    <w:rsid w:val="00646B93"/>
    <w:rsid w:val="006A3DA8"/>
    <w:rsid w:val="00764EC8"/>
    <w:rsid w:val="0087349F"/>
    <w:rsid w:val="008D7323"/>
    <w:rsid w:val="008E6221"/>
    <w:rsid w:val="0092226F"/>
    <w:rsid w:val="00965D26"/>
    <w:rsid w:val="00996EC4"/>
    <w:rsid w:val="009A0E96"/>
    <w:rsid w:val="009A212D"/>
    <w:rsid w:val="00A44313"/>
    <w:rsid w:val="00A74509"/>
    <w:rsid w:val="00A832F2"/>
    <w:rsid w:val="00AD371F"/>
    <w:rsid w:val="00B53F9C"/>
    <w:rsid w:val="00B670EA"/>
    <w:rsid w:val="00C069FD"/>
    <w:rsid w:val="00C5347A"/>
    <w:rsid w:val="00C639C3"/>
    <w:rsid w:val="00CC69BC"/>
    <w:rsid w:val="00D00E30"/>
    <w:rsid w:val="00D273E7"/>
    <w:rsid w:val="00D8527E"/>
    <w:rsid w:val="00E04A35"/>
    <w:rsid w:val="00E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F20FB-EFE9-4295-B700-6EFE73BC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3DA8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551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5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area">
    <w:name w:val="textarea"/>
    <w:basedOn w:val="Standard"/>
    <w:qFormat/>
    <w:rsid w:val="003979F7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240" w:lineRule="auto"/>
    </w:pPr>
    <w:rPr>
      <w:rFonts w:ascii="Liberation Serif" w:eastAsia="Noto Serif CJK SC" w:hAnsi="Liberation Serif" w:cs="Times New Roman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Peters</dc:creator>
  <cp:keywords/>
  <dc:description/>
  <cp:lastModifiedBy>Geipel2, Gertrud (Auenwaldschule - Böklund)</cp:lastModifiedBy>
  <cp:revision>2</cp:revision>
  <cp:lastPrinted>2015-06-02T17:15:00Z</cp:lastPrinted>
  <dcterms:created xsi:type="dcterms:W3CDTF">2020-12-10T09:19:00Z</dcterms:created>
  <dcterms:modified xsi:type="dcterms:W3CDTF">2020-12-10T09:19:00Z</dcterms:modified>
</cp:coreProperties>
</file>